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CF0B5" w14:textId="5617A33C" w:rsidR="00B838C5" w:rsidRDefault="00796115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0332CFE" wp14:editId="615CEEAE">
            <wp:simplePos x="0" y="0"/>
            <wp:positionH relativeFrom="column">
              <wp:posOffset>5874589</wp:posOffset>
            </wp:positionH>
            <wp:positionV relativeFrom="paragraph">
              <wp:posOffset>-112101</wp:posOffset>
            </wp:positionV>
            <wp:extent cx="3064510" cy="609516"/>
            <wp:effectExtent l="0" t="0" r="2540" b="635"/>
            <wp:wrapNone/>
            <wp:docPr id="120685838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382" name="Picture 2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60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2A7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5680" behindDoc="0" locked="0" layoutInCell="1" allowOverlap="1" wp14:anchorId="2C74446D" wp14:editId="1FF1A4F8">
            <wp:simplePos x="0" y="0"/>
            <wp:positionH relativeFrom="column">
              <wp:posOffset>1892300</wp:posOffset>
            </wp:positionH>
            <wp:positionV relativeFrom="paragraph">
              <wp:posOffset>495300</wp:posOffset>
            </wp:positionV>
            <wp:extent cx="7199949" cy="4000500"/>
            <wp:effectExtent l="0" t="0" r="0" b="0"/>
            <wp:wrapNone/>
            <wp:docPr id="31047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3282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0448" r="8853" b="22538"/>
                    <a:stretch/>
                  </pic:blipFill>
                  <pic:spPr bwMode="auto">
                    <a:xfrm>
                      <a:off x="0" y="0"/>
                      <a:ext cx="7199949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 xml:space="preserve">Modello di piano strategico di </w:t>
      </w:r>
      <w:r w:rsidR="002C73E5">
        <w:rPr>
          <w:rFonts w:ascii="Century Gothic" w:hAnsi="Century Gothic"/>
          <w:b/>
          <w:color w:val="595959" w:themeColor="text1" w:themeTint="A6"/>
          <w:sz w:val="44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>base - Esempio</w:t>
      </w:r>
    </w:p>
    <w:p w14:paraId="069A9DF4" w14:textId="411CF6FD" w:rsidR="00890011" w:rsidRDefault="00890011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9848394" w14:textId="0F3C2B7E" w:rsidR="00856B1D" w:rsidRDefault="002C73E5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4D4E43" wp14:editId="1EF7926A">
                <wp:simplePos x="0" y="0"/>
                <wp:positionH relativeFrom="column">
                  <wp:posOffset>17145</wp:posOffset>
                </wp:positionH>
                <wp:positionV relativeFrom="paragraph">
                  <wp:posOffset>33020</wp:posOffset>
                </wp:positionV>
                <wp:extent cx="5020310" cy="3086100"/>
                <wp:effectExtent l="0" t="0" r="0" b="0"/>
                <wp:wrapNone/>
                <wp:docPr id="1356065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E77A" w14:textId="15B7CF30" w:rsidR="00960644" w:rsidRPr="002C73E5" w:rsidRDefault="00FB5F8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2C73E5">
                              <w:rPr>
                                <w:rFonts w:ascii="Century Gothic" w:hAnsi="Century Gothic"/>
                                <w:color w:val="5B9BD5" w:themeColor="accent5"/>
                                <w:sz w:val="40"/>
                                <w:szCs w:val="21"/>
                              </w:rPr>
                              <w:t>Questo piano strategico per Positive Charge fornisce una tabella di marcia per raggiungere la visione dell’azienda di guidare il settore della ricarica EV attraverso l’innovazione, l’espansione strategica e l’attenzione alle esigenze dei clienti.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2.6pt;width:395.3pt;height:24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63FwIAAC0EAAAOAAAAZHJzL2Uyb0RvYy54bWysU9uO2yAQfa/Uf0C8N7Zz69aKs0p3lapS&#10;tLtSttpngiG2hBkKJHb69R2wc9G2T1VfYGCGuZxzWNx3jSJHYV0NuqDZKKVEaA5lrfcF/fG6/nRH&#10;ifNMl0yBFgU9CUfvlx8/LFqTizFUoEphCSbRLm9NQSvvTZ4kjleiYW4ERmh0SrAN83i0+6S0rMXs&#10;jUrGaTpPWrClscCFc3j72DvpMuaXUnD/LKUTnqiCYm8+rjauu7AmywXL95aZquZDG+wfumhYrbHo&#10;JdUj84wcbP1HqqbmFhxIP+LQJCBlzUWcAafJ0nfTbCtmRJwFwXHmApP7f2n503FrXizx3VfokMAA&#10;SGtc7vAyzNNJ24QdOyXoRwhPF9hE5wnHy1k6TicZujj6JundPEsjsMn1ubHOfxPQkGAU1CIvES52&#10;3DiPJTH0HBKqaVjXSkVulCZtQeeTWRofXDz4Qml8eG02WL7bdcMEOyhPOJiFnnNn+LrG4hvm/Auz&#10;SDI2jML1z7hIBVgEBouSCuyvv92HeMQevZS0KJqCup8HZgUl6rtGVr5k02lQWTxMZ5/HeLC3nt2t&#10;Rx+aB0BdZvhFDI9miPfqbEoLzRvqexWqootpjrUL6s/mg++ljP+Di9UqBqGuDPMbvTU8pA5wBmhf&#10;uzdmzYC/R+qe4Cwvlr+joY/tiVgdPMg6chQA7lEdcEdNRuqG/xNEf3uOUddfvvwNAAD//wMAUEsD&#10;BBQABgAIAAAAIQBjetzi3wAAAAcBAAAPAAAAZHJzL2Rvd25yZXYueG1sTI7BTsMwEETvSPyDtUjc&#10;qFOX0jZkU1WRKiQEh5ZeuDnxNomI1yF228DXY05wHM3ozcvWo+3EmQbfOkaYThIQxJUzLdcIh7ft&#10;3RKED5qN7hwTwhd5WOfXV5lOjbvwjs77UIsIYZ9qhCaEPpXSVw1Z7SeuJ47d0Q1WhxiHWppBXyLc&#10;dlIlyYO0uuX40Oieioaqj/3JIjwX21e9K5VdfnfF08tx038e3ueItzfj5hFEoDH8jeFXP6pDHp1K&#10;d2LjRYegFnGIMFcgYrtYzWYgSoT71VSBzDP53z//AQAA//8DAFBLAQItABQABgAIAAAAIQC2gziS&#10;/gAAAOEBAAATAAAAAAAAAAAAAAAAAAAAAABbQ29udGVudF9UeXBlc10ueG1sUEsBAi0AFAAGAAgA&#10;AAAhADj9If/WAAAAlAEAAAsAAAAAAAAAAAAAAAAALwEAAF9yZWxzLy5yZWxzUEsBAi0AFAAGAAgA&#10;AAAhAEZSjrcXAgAALQQAAA4AAAAAAAAAAAAAAAAALgIAAGRycy9lMm9Eb2MueG1sUEsBAi0AFAAG&#10;AAgAAAAhAGN63OLfAAAABwEAAA8AAAAAAAAAAAAAAAAAcQQAAGRycy9kb3ducmV2LnhtbFBLBQYA&#10;AAAABAAEAPMAAAB9BQAAAAA=&#10;" filled="f" stroked="f" strokeweight=".5pt">
                <v:textbox>
                  <w:txbxContent>
                    <w:p w14:paraId="6498E77A" w14:textId="15B7CF30" w:rsidR="00960644" w:rsidRPr="002C73E5" w:rsidRDefault="00FB5F87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</w:pPr>
                      <w:r w:rsidRPr="002C73E5">
                        <w:rPr>
                          <w:rFonts w:ascii="Century Gothic" w:hAnsi="Century Gothic"/>
                          <w:color w:val="5B9BD5" w:themeColor="accent5"/>
                          <w:sz w:val="40"/>
                          <w:szCs w:val="21"/>
                        </w:rPr>
                        <w:t>Questo piano strategico per Positive Charge fornisce una tabella di marcia per raggiungere la visione dell’azienda di guidare il settore della ricarica EV attraverso l’innovazione, l’espansione strategica e l’attenzione alle esigenze dei clienti.</w:t>
                      </w:r>
                    </w:p>
                  </w:txbxContent>
                </v:textbox>
              </v:shape>
            </w:pict>
          </mc:Fallback>
        </mc:AlternateContent>
      </w:r>
    </w:p>
    <w:p w14:paraId="51A9F482" w14:textId="7DE97801" w:rsidR="00856B1D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185A0CDC" w14:textId="444AB325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2735C66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C5A5FB8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3215353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9DAC67D" w14:textId="77777777" w:rsidR="00856B1D" w:rsidRPr="00F840C3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B838C5" w14:paraId="4D406BAE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64E375E" w14:textId="004EA2A7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NOME DELL’AZIENDA</w:t>
            </w:r>
          </w:p>
        </w:tc>
        <w:tc>
          <w:tcPr>
            <w:tcW w:w="7195" w:type="dxa"/>
            <w:vAlign w:val="center"/>
          </w:tcPr>
          <w:p w14:paraId="21AEE2D3" w14:textId="66BCC7DE" w:rsidR="00B838C5" w:rsidRPr="00856B1D" w:rsidRDefault="00F462A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Positive Charge</w:t>
            </w:r>
          </w:p>
        </w:tc>
      </w:tr>
      <w:tr w:rsidR="00B838C5" w14:paraId="44523F07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3B6FC070" w14:textId="2C62029B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PIANO STRATEGICO REDATTO DA</w:t>
            </w:r>
          </w:p>
        </w:tc>
        <w:tc>
          <w:tcPr>
            <w:tcW w:w="7195" w:type="dxa"/>
            <w:vAlign w:val="center"/>
          </w:tcPr>
          <w:p w14:paraId="49365471" w14:textId="0576B6E0" w:rsidR="00B838C5" w:rsidRPr="00856B1D" w:rsidRDefault="00F462A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Lori Garcia</w:t>
            </w:r>
          </w:p>
        </w:tc>
      </w:tr>
      <w:tr w:rsidR="00B838C5" w14:paraId="25A0E68B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248D06D" w14:textId="11F39E12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DATA</w:t>
            </w:r>
          </w:p>
        </w:tc>
        <w:tc>
          <w:tcPr>
            <w:tcW w:w="7195" w:type="dxa"/>
            <w:vAlign w:val="center"/>
          </w:tcPr>
          <w:p w14:paraId="5E70BA1E" w14:textId="66A6DFE8" w:rsidR="00B838C5" w:rsidRPr="00856B1D" w:rsidRDefault="00F462A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GG/MM/AA</w:t>
            </w:r>
          </w:p>
        </w:tc>
      </w:tr>
    </w:tbl>
    <w:p w14:paraId="03A5D751" w14:textId="6AFEBF10" w:rsidR="00B838C5" w:rsidRDefault="00B838C5"/>
    <w:tbl>
      <w:tblPr>
        <w:tblW w:w="19096" w:type="dxa"/>
        <w:tblLook w:val="04A0" w:firstRow="1" w:lastRow="0" w:firstColumn="1" w:lastColumn="0" w:noHBand="0" w:noVBand="1"/>
      </w:tblPr>
      <w:tblGrid>
        <w:gridCol w:w="3865"/>
        <w:gridCol w:w="1855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272"/>
      </w:tblGrid>
      <w:tr w:rsidR="007D257E" w:rsidRPr="007D257E" w14:paraId="4715C1F7" w14:textId="77777777" w:rsidTr="00D22386">
        <w:trPr>
          <w:gridAfter w:val="4"/>
          <w:wAfter w:w="4640" w:type="dxa"/>
          <w:trHeight w:val="1070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  <w:hideMark/>
          </w:tcPr>
          <w:p w14:paraId="1551FA34" w14:textId="36FEEF5B" w:rsidR="007D257E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lastRenderedPageBreak/>
              <w:t>EXECUTIVE SUMMARY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4F85D08" w14:textId="67120FE4" w:rsidR="007D257E" w:rsidRPr="00D1464D" w:rsidRDefault="00036E51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Positive Charge mira a diventare leader nel settore della ricarica per veicoli elettrici (EV) fornendo soluzioni di ricarica innovative, affidabili e accessibili ai proprietari di veicoli elettrici e alle aziende. Il nostro piano strategico delinea i passi per espandere la nostra rete, migliorare la nostra tecnologia e far crescere la nostra presenza sul mercato nei prossimi cinque anni.</w:t>
            </w:r>
          </w:p>
        </w:tc>
      </w:tr>
      <w:tr w:rsidR="00F840C3" w:rsidRPr="007D257E" w14:paraId="7D46D7E0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7C6F3671" w14:textId="15CFB1B9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DICHIARAZIONE DI VISIONE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1888443" w14:textId="46C268BA" w:rsidR="00F840C3" w:rsidRPr="007E2D98" w:rsidRDefault="00036E51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Rivoluzionare l’esperienza di ricarica dei veicoli elettrici, rendendola comune e facile da usare come una stazione di servizio tradizionale, accelerando così la transizione globale verso il trasporto sostenibile.</w:t>
            </w:r>
          </w:p>
        </w:tc>
      </w:tr>
      <w:tr w:rsidR="00B838C5" w:rsidRPr="007D257E" w14:paraId="7981F81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BA7184E" w14:textId="6359A8B4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DICHIARAZIONE DI MISSION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5C71AE" w14:textId="54CD1055" w:rsidR="00B838C5" w:rsidRPr="007E2D98" w:rsidRDefault="00036E51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La mission di Positive Charge è quella di fornire ai proprietari di veicoli elettrici soluzioni di ricarica rapide, efficienti e onnipresenti, supportando la crescita della mobilità elettrica attraverso innovazione, servizi incentrati sul cliente e partnership strategiche.</w:t>
            </w:r>
          </w:p>
        </w:tc>
      </w:tr>
      <w:tr w:rsidR="00B838C5" w:rsidRPr="007D257E" w14:paraId="35C53379" w14:textId="77777777" w:rsidTr="00D22386">
        <w:trPr>
          <w:gridAfter w:val="4"/>
          <w:wAfter w:w="4640" w:type="dxa"/>
          <w:trHeight w:val="1817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20082096" w14:textId="38452DCC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ANALISI SWOT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ABDB67" w14:textId="212BF326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Punti di forza: tecnologia di ricarica avanzata, solide partnership con i produttori di veicoli elettrici e posizione strategica delle stazioni di ricarica.</w:t>
            </w:r>
          </w:p>
          <w:p w14:paraId="070CBAAA" w14:textId="77777777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Punti deboli: elevati costi iniziali delle infrastrutture e concorrenza da parte delle reti di rifornimento e ricarica consolidate.</w:t>
            </w:r>
          </w:p>
          <w:p w14:paraId="0E61C0BC" w14:textId="293CBA87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Opportunità: la crescente domanda di veicoli elettrici, gli incentivi governativi per le energie rinnovabili e il potenziale di espansione internazionale.</w:t>
            </w:r>
          </w:p>
          <w:p w14:paraId="72D6CEB7" w14:textId="572BAFE2" w:rsidR="00B838C5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Minacce: progressi tecnologici da parte dei concorrenti e cambiamenti negli ambienti normativi.</w:t>
            </w:r>
          </w:p>
        </w:tc>
      </w:tr>
      <w:tr w:rsidR="00F840C3" w:rsidRPr="007D257E" w14:paraId="60FD341C" w14:textId="77777777" w:rsidTr="00D22386">
        <w:trPr>
          <w:gridAfter w:val="4"/>
          <w:wAfter w:w="4640" w:type="dxa"/>
          <w:trHeight w:val="108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31E36D" w14:textId="339EEFA6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OBIETTIVI AZIENDALI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33E1A60" w14:textId="7A984AB1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 breve termine (1-2 anni): aumentare il numero di stazioni di ricarica del 50% e assicurarsi due nuove partnership strategiche.</w:t>
            </w:r>
          </w:p>
          <w:p w14:paraId="16EEC4B6" w14:textId="39B12FEC" w:rsidR="00F840C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 lungo termine (3-5 anni): raggiungere una quota di mercato del 25% nel settore della ricarica dei veicoli elettrici ed espandere le operazioni in tre nuovi paesi.</w:t>
            </w:r>
          </w:p>
        </w:tc>
      </w:tr>
      <w:tr w:rsidR="00B838C5" w:rsidRPr="007D257E" w14:paraId="06645FFA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08E6D25F" w14:textId="605A2226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PIANO DI MARKETING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A213113" w14:textId="242BA9FA" w:rsidR="00B838C5" w:rsidRPr="007E2D98" w:rsidRDefault="00D1020F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Implementare una strategia di marketing multicanale che si concentri sul marketing digitale, sulle partnership con i produttori di veicoli elettrici e sulla partecipazione a fiere di energia verde che aumentano la consapevolezza del marchio e il coinvolgimento dei clienti.</w:t>
            </w:r>
          </w:p>
        </w:tc>
      </w:tr>
      <w:tr w:rsidR="00F840C3" w:rsidRPr="007D257E" w14:paraId="454B8795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9F52135" w14:textId="2C0DF016" w:rsidR="00F840C3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PIANO OPERATIVO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7E0E5" w14:textId="5805DE2E" w:rsidR="00F840C3" w:rsidRPr="007E2D98" w:rsidRDefault="00D1020F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Aumentare lo sviluppo delle infrastrutture investendo in tecnologie di ricarica di ultima generazione e ottimizzando la logistica per garantire l’implementazione e la manutenzione efficienti delle stazioni di ricarica.</w:t>
            </w:r>
          </w:p>
        </w:tc>
      </w:tr>
      <w:tr w:rsidR="00B838C5" w:rsidRPr="007D257E" w14:paraId="5EFEA7F9" w14:textId="77777777" w:rsidTr="002C73E5">
        <w:trPr>
          <w:gridAfter w:val="4"/>
          <w:wAfter w:w="4640" w:type="dxa"/>
          <w:trHeight w:val="9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6D6C37FD" w14:textId="2A67404E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PROIEZIONI FINANZIARIE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557C38" w14:textId="77777777" w:rsidR="00D1020F" w:rsidRPr="002C73E5" w:rsidRDefault="00D1020F" w:rsidP="00D1020F">
            <w:pPr>
              <w:spacing w:after="0" w:line="240" w:lineRule="auto"/>
              <w:rPr>
                <w:rFonts w:ascii="Century Gothic" w:hAnsi="Century Gothic"/>
                <w:spacing w:val="-4"/>
                <w:sz w:val="20"/>
                <w:szCs w:val="20"/>
              </w:rPr>
            </w:pPr>
            <w:r w:rsidRPr="002C73E5">
              <w:rPr>
                <w:rFonts w:ascii="Century Gothic" w:hAnsi="Century Gothic"/>
                <w:spacing w:val="-4"/>
                <w:sz w:val="20"/>
              </w:rPr>
              <w:t>Anno 1: fatturato di 5 milioni di dollari con una perdita netta di 1 milione di dollari dovuta agli investimenti iniziali.</w:t>
            </w:r>
          </w:p>
          <w:p w14:paraId="618B5F63" w14:textId="77777777" w:rsidR="00D1020F" w:rsidRPr="00D1020F" w:rsidRDefault="00D1020F" w:rsidP="00D1020F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Anno 2: fatturato di 10 milioni di dollari con un utile netto di 1 milione di dollari.</w:t>
            </w:r>
          </w:p>
          <w:p w14:paraId="6BACCB43" w14:textId="3AD73A26" w:rsidR="00B838C5" w:rsidRPr="007E2D98" w:rsidRDefault="00D1020F" w:rsidP="00D1020F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Anno 3-5: crescita del fatturato anno su anno del 30%, raggiungendo un margine di profitto netto del 15%.</w:t>
            </w:r>
          </w:p>
        </w:tc>
      </w:tr>
      <w:tr w:rsidR="00B838C5" w:rsidRPr="007D257E" w14:paraId="63E12318" w14:textId="77777777" w:rsidTr="002C73E5">
        <w:trPr>
          <w:gridAfter w:val="4"/>
          <w:wAfter w:w="4640" w:type="dxa"/>
          <w:trHeight w:val="1340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60F49E3" w14:textId="28CF0F1B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TEAM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E5538AD" w14:textId="29580552" w:rsidR="001F6345" w:rsidRPr="001F6345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CEO: un esperto di energie rinnovabili con 20 anni di esperienza.</w:t>
            </w:r>
          </w:p>
          <w:p w14:paraId="366C1B64" w14:textId="78344776" w:rsidR="001F6345" w:rsidRPr="001F6345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CTO: uno specialista nella tecnologia EV e nello sviluppo di infrastrutture.</w:t>
            </w:r>
          </w:p>
          <w:p w14:paraId="6C639D4C" w14:textId="6EFD9522" w:rsidR="001F6345" w:rsidRPr="001F6345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CFO: un esperto in finanza e investimenti che si concentra sulle tecnologie verdi.</w:t>
            </w:r>
          </w:p>
          <w:p w14:paraId="4392700B" w14:textId="0528725A" w:rsidR="00B838C5" w:rsidRPr="007E2D98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Direttore marketing: leader qualificato nel marketing digitale e nella costruzione del marchio nel settore tecnologico.</w:t>
            </w:r>
          </w:p>
        </w:tc>
      </w:tr>
      <w:tr w:rsidR="007D257E" w:rsidRPr="007D257E" w14:paraId="14CA452E" w14:textId="77777777" w:rsidTr="0053241E">
        <w:trPr>
          <w:trHeight w:val="240"/>
        </w:trPr>
        <w:tc>
          <w:tcPr>
            <w:tcW w:w="386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C9C6" w14:textId="77777777" w:rsidR="007D257E" w:rsidRPr="007D257E" w:rsidRDefault="007D257E" w:rsidP="007D257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5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D9ABB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color w:val="806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Century Gothic" w:hAnsi="Century Gothic"/>
                <w:color w:val="806000"/>
                <w:kern w:val="0"/>
                <w:sz w:val="36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5BDB0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0D43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94C9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0CDDD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69864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0E688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8BDB5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9B79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35F2E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722AF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</w:tr>
    </w:tbl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E9555E" w14:paraId="48239CE4" w14:textId="77777777" w:rsidTr="00E20DA8">
        <w:trPr>
          <w:trHeight w:val="2338"/>
        </w:trPr>
        <w:tc>
          <w:tcPr>
            <w:tcW w:w="14233" w:type="dxa"/>
          </w:tcPr>
          <w:p w14:paraId="2CDC834D" w14:textId="77777777" w:rsidR="00E9555E" w:rsidRPr="00692C04" w:rsidRDefault="00E9555E" w:rsidP="00E20DA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DICHIARAZIONE DI NON RESPONSABILITÀ</w:t>
            </w:r>
          </w:p>
          <w:p w14:paraId="22A5E04A" w14:textId="77777777" w:rsidR="00E9555E" w:rsidRDefault="00E9555E" w:rsidP="00E20DA8">
            <w:pPr>
              <w:rPr>
                <w:rFonts w:ascii="Century Gothic" w:hAnsi="Century Gothic" w:cs="Arial"/>
                <w:szCs w:val="20"/>
              </w:rPr>
            </w:pPr>
          </w:p>
          <w:p w14:paraId="509A3D04" w14:textId="77777777" w:rsidR="00E9555E" w:rsidRDefault="00E9555E" w:rsidP="00E20DA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1946B9E3" w14:textId="77777777" w:rsidR="00E9555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4955F1E3" w14:textId="77777777" w:rsidR="00E9555E" w:rsidRPr="00D3383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1C348169" w14:textId="14F2229F" w:rsidR="00E9555E" w:rsidRPr="00E9555E" w:rsidRDefault="00E9555E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sectPr w:rsidR="00E9555E" w:rsidRPr="00E9555E" w:rsidSect="00DA65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160D"/>
    <w:multiLevelType w:val="multilevel"/>
    <w:tmpl w:val="279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B1AD5"/>
    <w:multiLevelType w:val="multilevel"/>
    <w:tmpl w:val="286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766BF"/>
    <w:multiLevelType w:val="multilevel"/>
    <w:tmpl w:val="D5B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F0CEC"/>
    <w:multiLevelType w:val="multilevel"/>
    <w:tmpl w:val="E0E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30082"/>
    <w:multiLevelType w:val="multilevel"/>
    <w:tmpl w:val="7492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203A3C"/>
    <w:multiLevelType w:val="multilevel"/>
    <w:tmpl w:val="A69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40076"/>
    <w:multiLevelType w:val="multilevel"/>
    <w:tmpl w:val="AF3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A7E26"/>
    <w:multiLevelType w:val="multilevel"/>
    <w:tmpl w:val="8AC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2148F2"/>
    <w:multiLevelType w:val="multilevel"/>
    <w:tmpl w:val="445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FD1838"/>
    <w:multiLevelType w:val="multilevel"/>
    <w:tmpl w:val="905A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E41E70"/>
    <w:multiLevelType w:val="multilevel"/>
    <w:tmpl w:val="E960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7200A0"/>
    <w:multiLevelType w:val="hybridMultilevel"/>
    <w:tmpl w:val="8FAE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84064"/>
    <w:multiLevelType w:val="multilevel"/>
    <w:tmpl w:val="F73E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E702BB"/>
    <w:multiLevelType w:val="multilevel"/>
    <w:tmpl w:val="DAD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8F35C56"/>
    <w:multiLevelType w:val="multilevel"/>
    <w:tmpl w:val="0C4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9966364">
    <w:abstractNumId w:val="4"/>
  </w:num>
  <w:num w:numId="2" w16cid:durableId="1750615785">
    <w:abstractNumId w:val="8"/>
  </w:num>
  <w:num w:numId="3" w16cid:durableId="253904161">
    <w:abstractNumId w:val="5"/>
  </w:num>
  <w:num w:numId="4" w16cid:durableId="364140788">
    <w:abstractNumId w:val="14"/>
  </w:num>
  <w:num w:numId="5" w16cid:durableId="693464801">
    <w:abstractNumId w:val="2"/>
  </w:num>
  <w:num w:numId="6" w16cid:durableId="209730835">
    <w:abstractNumId w:val="13"/>
  </w:num>
  <w:num w:numId="7" w16cid:durableId="698163981">
    <w:abstractNumId w:val="0"/>
  </w:num>
  <w:num w:numId="8" w16cid:durableId="1317339459">
    <w:abstractNumId w:val="12"/>
  </w:num>
  <w:num w:numId="9" w16cid:durableId="1085806641">
    <w:abstractNumId w:val="10"/>
  </w:num>
  <w:num w:numId="10" w16cid:durableId="988096627">
    <w:abstractNumId w:val="7"/>
  </w:num>
  <w:num w:numId="11" w16cid:durableId="1735543414">
    <w:abstractNumId w:val="9"/>
  </w:num>
  <w:num w:numId="12" w16cid:durableId="1170872422">
    <w:abstractNumId w:val="3"/>
  </w:num>
  <w:num w:numId="13" w16cid:durableId="1654481273">
    <w:abstractNumId w:val="1"/>
  </w:num>
  <w:num w:numId="14" w16cid:durableId="1466699318">
    <w:abstractNumId w:val="6"/>
  </w:num>
  <w:num w:numId="15" w16cid:durableId="17801810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5E"/>
    <w:rsid w:val="00036E51"/>
    <w:rsid w:val="0004078A"/>
    <w:rsid w:val="000411F0"/>
    <w:rsid w:val="00050CAB"/>
    <w:rsid w:val="0006376B"/>
    <w:rsid w:val="000D0FD7"/>
    <w:rsid w:val="000F173D"/>
    <w:rsid w:val="0012137D"/>
    <w:rsid w:val="00127B68"/>
    <w:rsid w:val="00192157"/>
    <w:rsid w:val="001A1328"/>
    <w:rsid w:val="001F59E2"/>
    <w:rsid w:val="001F6345"/>
    <w:rsid w:val="00214A64"/>
    <w:rsid w:val="0022352A"/>
    <w:rsid w:val="00280F66"/>
    <w:rsid w:val="002A5A3C"/>
    <w:rsid w:val="002C73E5"/>
    <w:rsid w:val="002D3824"/>
    <w:rsid w:val="00333D63"/>
    <w:rsid w:val="003A4A32"/>
    <w:rsid w:val="003A776D"/>
    <w:rsid w:val="003E1829"/>
    <w:rsid w:val="00423B67"/>
    <w:rsid w:val="005233D9"/>
    <w:rsid w:val="0053241E"/>
    <w:rsid w:val="005C758F"/>
    <w:rsid w:val="005F1960"/>
    <w:rsid w:val="00670F01"/>
    <w:rsid w:val="00680F0E"/>
    <w:rsid w:val="006841C6"/>
    <w:rsid w:val="00694E25"/>
    <w:rsid w:val="006D4C32"/>
    <w:rsid w:val="006E160E"/>
    <w:rsid w:val="007057FB"/>
    <w:rsid w:val="00780711"/>
    <w:rsid w:val="00796115"/>
    <w:rsid w:val="007A4076"/>
    <w:rsid w:val="007D257E"/>
    <w:rsid w:val="007F7BB8"/>
    <w:rsid w:val="00856B1D"/>
    <w:rsid w:val="00874FC2"/>
    <w:rsid w:val="00890011"/>
    <w:rsid w:val="008A6AA0"/>
    <w:rsid w:val="00902D43"/>
    <w:rsid w:val="00960644"/>
    <w:rsid w:val="00966471"/>
    <w:rsid w:val="009A4B55"/>
    <w:rsid w:val="009C2AF2"/>
    <w:rsid w:val="009C3683"/>
    <w:rsid w:val="00AB29C2"/>
    <w:rsid w:val="00B20388"/>
    <w:rsid w:val="00B5700F"/>
    <w:rsid w:val="00B6775F"/>
    <w:rsid w:val="00B838C5"/>
    <w:rsid w:val="00BC1FE7"/>
    <w:rsid w:val="00BE49A9"/>
    <w:rsid w:val="00CC01FA"/>
    <w:rsid w:val="00CD13E5"/>
    <w:rsid w:val="00D1020F"/>
    <w:rsid w:val="00D116C2"/>
    <w:rsid w:val="00D1464D"/>
    <w:rsid w:val="00D22386"/>
    <w:rsid w:val="00DA652A"/>
    <w:rsid w:val="00DE573B"/>
    <w:rsid w:val="00E56F58"/>
    <w:rsid w:val="00E82E2E"/>
    <w:rsid w:val="00E9555E"/>
    <w:rsid w:val="00EA6DAE"/>
    <w:rsid w:val="00EA7488"/>
    <w:rsid w:val="00EE52D1"/>
    <w:rsid w:val="00F065C8"/>
    <w:rsid w:val="00F1326C"/>
    <w:rsid w:val="00F462A7"/>
    <w:rsid w:val="00F840C3"/>
    <w:rsid w:val="00FB40C3"/>
    <w:rsid w:val="00FB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C3809"/>
  <w15:chartTrackingRefBased/>
  <w15:docId w15:val="{6AADBD4E-137C-498F-8DBB-F3B3B4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55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3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t.smartsheet.com/try-it?trp=37507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557</Words>
  <Characters>3253</Characters>
  <Application>Microsoft Office Word</Application>
  <DocSecurity>0</DocSecurity>
  <Lines>70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Alisa lin</cp:lastModifiedBy>
  <cp:revision>6</cp:revision>
  <dcterms:created xsi:type="dcterms:W3CDTF">2024-05-28T11:19:00Z</dcterms:created>
  <dcterms:modified xsi:type="dcterms:W3CDTF">2024-09-24T13:14:00Z</dcterms:modified>
</cp:coreProperties>
</file>